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����" w:hAnsi="����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����" w:hAnsi="����" w:eastAsia="宋体" w:cs="宋体"/>
          <w:b/>
          <w:color w:val="000000"/>
          <w:kern w:val="0"/>
          <w:sz w:val="28"/>
          <w:szCs w:val="28"/>
        </w:rPr>
        <w:t>发明专利“一种高效且可扩展的IP数据包分类方法”简介</w:t>
      </w:r>
    </w:p>
    <w:p>
      <w:pPr>
        <w:widowControl/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</w:pPr>
    </w:p>
    <w:p>
      <w:pPr>
        <w:widowControl/>
        <w:rPr>
          <w:rFonts w:hint="eastAsia" w:ascii="����" w:hAnsi="����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����" w:hAnsi="����" w:eastAsia="宋体" w:cs="宋体"/>
          <w:b/>
          <w:color w:val="000000"/>
          <w:kern w:val="0"/>
          <w:sz w:val="28"/>
          <w:szCs w:val="28"/>
        </w:rPr>
        <w:t>摘要：</w:t>
      </w:r>
    </w:p>
    <w:p>
      <w:pPr>
        <w:widowControl/>
        <w:ind w:firstLine="560" w:firstLineChars="200"/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</w:pP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 本发明公开的属于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“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计算机科学与技术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”的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技术领域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，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具体为一种高效且可扩展的IP数据包分类方法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，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该高效且可扩展的IP数据包分类方法包括如下步骤：</w:t>
      </w:r>
    </w:p>
    <w:p>
      <w:pPr>
        <w:widowControl/>
        <w:ind w:firstLine="560" w:firstLineChars="200"/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</w:pP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S1：算法预处理：将目的/源IP、目的/源端口和协议域连接成比特串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，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共104比特；S2：冲突处理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，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建立哈希桶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，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然后采用拉链法进行对冲突的处理；S3：随机数的产生：采用线性乘同余法、位移寄存器法、混合法或Fibonacci法实现伪随机数的产生；S4：数据包分类仿真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，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能够确保IP数据包进行线速分类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，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在更新上不存在完全更新和结构重组,只有少量的增量更新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，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更新速度快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，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减少了分类需要的时间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，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大大提高了分类效率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，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可以扩展到任意多个分类字段</w:t>
      </w:r>
      <w:r>
        <w:rPr>
          <w:rFonts w:hint="eastAsia" w:ascii="����" w:hAnsi="����" w:eastAsia="宋体" w:cs="宋体"/>
          <w:color w:val="000000"/>
          <w:kern w:val="0"/>
          <w:sz w:val="28"/>
          <w:szCs w:val="28"/>
        </w:rPr>
        <w:t>，</w:t>
      </w:r>
      <w:r>
        <w:rPr>
          <w:rFonts w:ascii="����" w:hAnsi="����" w:eastAsia="宋体" w:cs="宋体"/>
          <w:color w:val="000000"/>
          <w:kern w:val="0"/>
          <w:sz w:val="28"/>
          <w:szCs w:val="28"/>
        </w:rPr>
        <w:t>满足分类要求。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15050" cy="8658225"/>
            <wp:effectExtent l="0" t="0" r="0" b="9525"/>
            <wp:docPr id="3" name="图片 3" descr="C:\Users\wys\Desktop\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wys\Desktop\00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spacing w:line="200" w:lineRule="exact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jc w:val="center"/>
      <w:outlineLvl w:val="0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权利要求书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3C"/>
    <w:rsid w:val="00040D9E"/>
    <w:rsid w:val="001F6C56"/>
    <w:rsid w:val="003E1276"/>
    <w:rsid w:val="00640946"/>
    <w:rsid w:val="006E4BDE"/>
    <w:rsid w:val="009A4626"/>
    <w:rsid w:val="009E5F3C"/>
    <w:rsid w:val="00A80E1E"/>
    <w:rsid w:val="00D30824"/>
    <w:rsid w:val="00E80706"/>
    <w:rsid w:val="00F9472C"/>
    <w:rsid w:val="2B9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0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WYS-NC</Company>
  <Pages>4</Pages>
  <Words>321</Words>
  <Characters>1832</Characters>
  <Lines>15</Lines>
  <Paragraphs>4</Paragraphs>
  <TotalTime>13</TotalTime>
  <ScaleCrop>false</ScaleCrop>
  <LinksUpToDate>false</LinksUpToDate>
  <CharactersWithSpaces>2149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2020-10-22T08:12:00Z</dcterms:created>
  <dc:creator>Administrator</dc:creator>
  <cp:lastModifiedBy>方方</cp:lastModifiedBy>
  <dcterms:modified xsi:type="dcterms:W3CDTF">2020-11-13T06:46:37Z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