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附件1</w:t>
      </w:r>
    </w:p>
    <w:p>
      <w:pPr>
        <w:widowControl/>
        <w:spacing w:line="70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江西省社会科学研究“十三五”（2020年）</w:t>
      </w:r>
    </w:p>
    <w:p>
      <w:pPr>
        <w:widowControl/>
        <w:spacing w:line="70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基金项目课题指南</w:t>
      </w:r>
    </w:p>
    <w:tbl>
      <w:tblPr>
        <w:tblStyle w:val="9"/>
        <w:tblpPr w:leftFromText="180" w:rightFromText="180" w:vertAnchor="text" w:horzAnchor="page" w:tblpX="1102" w:tblpY="928"/>
        <w:tblOverlap w:val="never"/>
        <w:tblW w:w="9796" w:type="dxa"/>
        <w:tblInd w:w="0" w:type="dxa"/>
        <w:tblLayout w:type="autofit"/>
        <w:tblCellMar>
          <w:top w:w="0" w:type="dxa"/>
          <w:left w:w="0" w:type="dxa"/>
          <w:bottom w:w="0" w:type="dxa"/>
          <w:right w:w="0" w:type="dxa"/>
        </w:tblCellMar>
      </w:tblPr>
      <w:tblGrid>
        <w:gridCol w:w="510"/>
        <w:gridCol w:w="9286"/>
      </w:tblGrid>
      <w:tr>
        <w:tblPrEx>
          <w:tblCellMar>
            <w:top w:w="0" w:type="dxa"/>
            <w:left w:w="0" w:type="dxa"/>
            <w:bottom w:w="0" w:type="dxa"/>
            <w:right w:w="0" w:type="dxa"/>
          </w:tblCellMar>
        </w:tblPrEx>
        <w:trPr>
          <w:trHeight w:val="72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一、马克思主义</w:t>
            </w:r>
            <w:r>
              <w:rPr>
                <w:rStyle w:val="13"/>
                <w:rFonts w:eastAsia="黑体"/>
                <w:color w:val="000000" w:themeColor="text1"/>
              </w:rPr>
              <w:t>•</w:t>
            </w:r>
            <w:r>
              <w:rPr>
                <w:rStyle w:val="14"/>
                <w:rFonts w:hint="default"/>
                <w:color w:val="000000" w:themeColor="text1"/>
              </w:rPr>
              <w:t>科学社会主义</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习近平新时代中国特色社会主义思想原创性贡献研究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习近平总书记关于牢记初心使命重要论述研究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习近平总书记关于意识形态工作的重要论述研究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习近平总书记关于人类命运共同体重要论述研究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习近平总书记关于完善疫情防控体制机制重要论述研究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中国特色社会主义制度的深厚历史底蕴及实践基础研究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筑牢中华民族共同体意识研究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新时代发挥中国特色社会主义制度优势研究</w:t>
            </w:r>
          </w:p>
        </w:tc>
      </w:tr>
      <w:tr>
        <w:tblPrEx>
          <w:tblCellMar>
            <w:top w:w="0" w:type="dxa"/>
            <w:left w:w="0" w:type="dxa"/>
            <w:bottom w:w="0" w:type="dxa"/>
            <w:right w:w="0" w:type="dxa"/>
          </w:tblCellMar>
        </w:tblPrEx>
        <w:trPr>
          <w:trHeight w:val="9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新时代国家治理体系和治理能力现代化研究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新时代继续发扬五四精神研究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新时代中国特色志愿服务理论研究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新时代基层党组织工作质量评价体系研究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新时代高校思想政治教育工作培根铸魂的历史使命研究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“中国之治”的制度密码研究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全面建设社会主义现代化对国家治理体系和能力的新要求和新挑战研究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“两个一百年”奋斗目标的历史逻辑和实践展开研究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大数据与高校意识形态安全研究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坚持马克思主义在意识形态领域指导地位的根本制度研究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党的十九大以来江西脱贫攻坚工作的基本经验研究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区块链与高校思想政治教育管理的创新研究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苏区精神融入高校思想政治教育体系研究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龚全珍精神的时代价值与社会主义核心价值观的丰富内涵研究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江西省百年党史红色故事挖掘、考究与宣传研究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我省道德模范典型对培育和践行社会主义核心价值观的意义研究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加强我省意识形态阵地管理研究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江西省新时代加强公民道德建设研究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“江西好人文化”现象背后的道德密码研究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江西省新时代完善文明实践中心建设研究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新时代加强我省宣传思想阵地建设研究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“脚力、眼力、脑力、笔力”的科学内涵与精神实质研究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31.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习近平总书记关于文化自信的重要论述与江西“四色”文化影响力研究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红色家书在新时代的传承和利用研究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江西哲学社会科学“十四五”发展规划的总体目标、主要任务和具体举措研究</w:t>
            </w:r>
          </w:p>
        </w:tc>
      </w:tr>
      <w:tr>
        <w:tblPrEx>
          <w:tblCellMar>
            <w:top w:w="0" w:type="dxa"/>
            <w:left w:w="0" w:type="dxa"/>
            <w:bottom w:w="0" w:type="dxa"/>
            <w:right w:w="0" w:type="dxa"/>
          </w:tblCellMar>
        </w:tblPrEx>
        <w:trPr>
          <w:trHeight w:val="82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二、党史</w:t>
            </w:r>
            <w:r>
              <w:rPr>
                <w:rStyle w:val="13"/>
                <w:rFonts w:eastAsia="黑体"/>
                <w:color w:val="000000" w:themeColor="text1"/>
              </w:rPr>
              <w:t>•</w:t>
            </w:r>
            <w:r>
              <w:rPr>
                <w:rFonts w:hint="eastAsia" w:ascii="黑体" w:hAnsi="宋体" w:eastAsia="黑体" w:cs="黑体"/>
                <w:b/>
                <w:color w:val="000000" w:themeColor="text1"/>
                <w:kern w:val="0"/>
                <w:sz w:val="32"/>
                <w:szCs w:val="32"/>
              </w:rPr>
              <w:t>党建</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习近平总书记关于新时代党的建设重要论述研究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中国共产党推进国家治理体系和治理能力现代化历史经验研究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新中国成立以来中国共产党应对重大突发事件的实践和经验研究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我国坚持党的集中统一领导应对重大突发事件的制度经验研究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“不忘初心、牢记使命”主题教育经验和长效机制研究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党的督查工作与完善“两个维护”制度研究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构建一体推进不敢腐、不能腐、不想腐体制机制研究</w:t>
            </w:r>
          </w:p>
        </w:tc>
      </w:tr>
      <w:tr>
        <w:tblPrEx>
          <w:tblCellMar>
            <w:top w:w="0" w:type="dxa"/>
            <w:left w:w="0" w:type="dxa"/>
            <w:bottom w:w="0" w:type="dxa"/>
            <w:right w:w="0" w:type="dxa"/>
          </w:tblCellMar>
        </w:tblPrEx>
        <w:trPr>
          <w:trHeight w:val="52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把提高治理能力作为新时代干部队伍建设的重大任务研究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中国共产党领导实现全面建成小康社会的历程与经验研究</w:t>
            </w:r>
          </w:p>
        </w:tc>
      </w:tr>
      <w:tr>
        <w:tblPrEx>
          <w:tblCellMar>
            <w:top w:w="0" w:type="dxa"/>
            <w:left w:w="0" w:type="dxa"/>
            <w:bottom w:w="0" w:type="dxa"/>
            <w:right w:w="0" w:type="dxa"/>
          </w:tblCellMar>
        </w:tblPrEx>
        <w:trPr>
          <w:trHeight w:val="72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从“四个现代化”到“五个现代化”：中国共产党现代化思想的演进轨迹研究</w:t>
            </w:r>
          </w:p>
        </w:tc>
      </w:tr>
      <w:tr>
        <w:tblPrEx>
          <w:tblCellMar>
            <w:top w:w="0" w:type="dxa"/>
            <w:left w:w="0" w:type="dxa"/>
            <w:bottom w:w="0" w:type="dxa"/>
            <w:right w:w="0" w:type="dxa"/>
          </w:tblCellMar>
        </w:tblPrEx>
        <w:trPr>
          <w:trHeight w:val="74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中国共产党开创中国特色社会主义道路、理论体系、制度、文化的历史经验研究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中国共产党百年奋斗历程、基本经验研究（分阶段、分专题研究）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基层党组织在疫情防控阻击战中充分发挥战斗堡垒作用研究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改进与完善新时期江西省党政干部干事创业的激励机制研究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新时代以党建工作引领社区治理研究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我省农村基层党组织功能在全面脱贫攻坚中的作用研究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中央苏区管党治党历史经验教训研究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中央苏区时期中国共产党制度建构及其社会治理经验研究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中央苏区“扩红”史料整理与时代价值研究</w:t>
            </w:r>
          </w:p>
        </w:tc>
      </w:tr>
      <w:tr>
        <w:tblPrEx>
          <w:tblCellMar>
            <w:top w:w="0" w:type="dxa"/>
            <w:left w:w="0" w:type="dxa"/>
            <w:bottom w:w="0" w:type="dxa"/>
            <w:right w:w="0" w:type="dxa"/>
          </w:tblCellMar>
        </w:tblPrEx>
        <w:trPr>
          <w:trHeight w:val="54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中央苏区时期中国共产党在红都瑞金制度建设的经验总结研究</w:t>
            </w:r>
          </w:p>
        </w:tc>
      </w:tr>
      <w:tr>
        <w:tblPrEx>
          <w:tblCellMar>
            <w:top w:w="0" w:type="dxa"/>
            <w:left w:w="0" w:type="dxa"/>
            <w:bottom w:w="0" w:type="dxa"/>
            <w:right w:w="0" w:type="dxa"/>
          </w:tblCellMar>
        </w:tblPrEx>
        <w:trPr>
          <w:trHeight w:val="7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井冈山精神（苏区精神、长征精神）与建设不忘初心、牢记使命制度的底蕴和传承研究</w:t>
            </w:r>
          </w:p>
        </w:tc>
      </w:tr>
      <w:tr>
        <w:tblPrEx>
          <w:tblCellMar>
            <w:top w:w="0" w:type="dxa"/>
            <w:left w:w="0" w:type="dxa"/>
            <w:bottom w:w="0" w:type="dxa"/>
            <w:right w:w="0" w:type="dxa"/>
          </w:tblCellMar>
        </w:tblPrEx>
        <w:trPr>
          <w:trHeight w:val="52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红色旅游资源优势向党内教育优势转化的路径研究</w:t>
            </w:r>
          </w:p>
        </w:tc>
      </w:tr>
      <w:tr>
        <w:tblPrEx>
          <w:tblCellMar>
            <w:top w:w="0" w:type="dxa"/>
            <w:left w:w="0" w:type="dxa"/>
            <w:bottom w:w="0" w:type="dxa"/>
            <w:right w:w="0" w:type="dxa"/>
          </w:tblCellMar>
        </w:tblPrEx>
        <w:trPr>
          <w:trHeight w:val="52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对江西红色文化资源、抗日战争重要遗址遗迹等的保护和利用研究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“寻乌调查”的时代价值启示研究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新形势下弘扬“方志敏精神”等革命烈士精神研究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巩固和发展我省最广泛的爱国统一战线研究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文天祥爱国精神研究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解读永新的“忠勇信义”精神研究</w:t>
            </w:r>
          </w:p>
        </w:tc>
      </w:tr>
      <w:tr>
        <w:tblPrEx>
          <w:tblCellMar>
            <w:top w:w="0" w:type="dxa"/>
            <w:left w:w="0" w:type="dxa"/>
            <w:bottom w:w="0" w:type="dxa"/>
            <w:right w:w="0" w:type="dxa"/>
          </w:tblCellMar>
        </w:tblPrEx>
        <w:trPr>
          <w:trHeight w:val="82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 xml:space="preserve"> 三、哲学 </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习近平新时代中国特色社会主义思想的哲学理论研究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习近平新时代中国特色社会主义思想对中国化马克思主义的贡献研究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习近平总书记关于脱贫攻坚重要论述的哲学研究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习近平总书记关于意识形态工作重要论述的哲学研究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习近平总书记关于新时代群众路线重要论述的哲学基础研究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以人民为中心的思想基础研究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中国社会主义现代化奋斗目标的哲学研究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中国特色社会主义制度优越性的哲学研究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人类命运共同体的哲学研究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社会主义核心价值观基础理论研究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关于高质量发展和美好生活的哲学研究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国家治理体系和治理能力现代化的哲学研究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马克思主义哲学的中国化、时代化、大众化研究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中国传统哲学文献的整理与诠释专题研究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中华传统美德的传承、弘扬和现代转化研究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人工智能与哲学变革研究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区块链技术与哲学社会科学研究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当代国外马克思主义哲学前沿问题研究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阳明学及其相关问题研究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陆九渊与江西儒学研究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宋明理学知行思想研究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新冠肺炎疫情的生命伦理学研究</w:t>
            </w:r>
          </w:p>
        </w:tc>
      </w:tr>
      <w:tr>
        <w:tblPrEx>
          <w:tblCellMar>
            <w:top w:w="0" w:type="dxa"/>
            <w:left w:w="0" w:type="dxa"/>
            <w:bottom w:w="0" w:type="dxa"/>
            <w:right w:w="0" w:type="dxa"/>
          </w:tblCellMar>
        </w:tblPrEx>
        <w:trPr>
          <w:trHeight w:val="739"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四、宗教学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习近平总书记关于我国新时期宗教工作的重要论述研究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马克思主义宗教观的历史与现状研究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宗教文化在中华传统文化中的地位和价值研究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改革开放以来宗教治理研究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宗教生态与环境保护关系研究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民间信仰文化及其社会功能研究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天主教在江西的传教史及其现状研究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宗教哲学的历史与现状发展研究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宗教心理学的跨学科研究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赣西禅宗文化调查与研究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江西省城镇化与新农村建设中的宗教问题研究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江西省道教与文化遗产及民俗关系研究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江西省宗教遗产调查、整理与研究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新时代推进我省宗教与社会主义社会相适应研究</w:t>
            </w:r>
          </w:p>
        </w:tc>
      </w:tr>
      <w:tr>
        <w:tblPrEx>
          <w:tblCellMar>
            <w:top w:w="0" w:type="dxa"/>
            <w:left w:w="0" w:type="dxa"/>
            <w:bottom w:w="0" w:type="dxa"/>
            <w:right w:w="0" w:type="dxa"/>
          </w:tblCellMar>
        </w:tblPrEx>
        <w:trPr>
          <w:trHeight w:val="84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五、理论经济</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习近平新时代中国特色社会主义经济思想体系研究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我省编制“十四五”规划若干重大问题研究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新时代自然资源和生态环境管理体制改革研究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基于5G商用背景下的江西数字经济发展策略研究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精准脱贫的政治经济学研究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区域一体化的理论基础和经济效应研究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全面小康社会中居民美好生活的经济理论基础研究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国家治理体系现代化背景下构建生态治理长效机制研究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协同推进生态优先和绿色发展研究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“十四五”期间新发展理念引领经济高质量发展研究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智能制造引领江西高质量发展产业政策研究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进一步健全我省城乡基层治理体系研究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疫情防控与江西经济可持续发展的统筹机制研究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加快完善我省社会治安防控体系研究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协调推进我省脱贫攻坚与乡村振兴战略研究</w:t>
            </w:r>
          </w:p>
        </w:tc>
      </w:tr>
      <w:tr>
        <w:tblPrEx>
          <w:tblCellMar>
            <w:top w:w="0" w:type="dxa"/>
            <w:left w:w="0" w:type="dxa"/>
            <w:bottom w:w="0" w:type="dxa"/>
            <w:right w:w="0" w:type="dxa"/>
          </w:tblCellMar>
        </w:tblPrEx>
        <w:trPr>
          <w:trHeight w:val="67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b/>
                <w:color w:val="000000" w:themeColor="text1"/>
                <w:kern w:val="0"/>
                <w:sz w:val="32"/>
                <w:szCs w:val="32"/>
              </w:rPr>
            </w:pPr>
          </w:p>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六、应用经济</w:t>
            </w:r>
          </w:p>
        </w:tc>
      </w:tr>
      <w:tr>
        <w:tblPrEx>
          <w:tblCellMar>
            <w:top w:w="0" w:type="dxa"/>
            <w:left w:w="0" w:type="dxa"/>
            <w:bottom w:w="0" w:type="dxa"/>
            <w:right w:w="0" w:type="dxa"/>
          </w:tblCellMar>
        </w:tblPrEx>
        <w:trPr>
          <w:trHeight w:val="564"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江西“十四五”发展重大问题和重大战略研究</w:t>
            </w:r>
          </w:p>
        </w:tc>
      </w:tr>
      <w:tr>
        <w:tblPrEx>
          <w:tblCellMar>
            <w:top w:w="0" w:type="dxa"/>
            <w:left w:w="0" w:type="dxa"/>
            <w:bottom w:w="0" w:type="dxa"/>
            <w:right w:w="0" w:type="dxa"/>
          </w:tblCellMar>
        </w:tblPrEx>
        <w:trPr>
          <w:trHeight w:val="459"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“十四五”时期区块链战略的江西定位与推进路径研究</w:t>
            </w:r>
          </w:p>
        </w:tc>
      </w:tr>
      <w:tr>
        <w:tblPrEx>
          <w:tblCellMar>
            <w:top w:w="0" w:type="dxa"/>
            <w:left w:w="0" w:type="dxa"/>
            <w:bottom w:w="0" w:type="dxa"/>
            <w:right w:w="0" w:type="dxa"/>
          </w:tblCellMar>
        </w:tblPrEx>
        <w:trPr>
          <w:trHeight w:val="564"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“十四五”时期江西制造强省建设的重点突破领域与推进路径研究</w:t>
            </w:r>
          </w:p>
        </w:tc>
      </w:tr>
      <w:tr>
        <w:tblPrEx>
          <w:tblCellMar>
            <w:top w:w="0" w:type="dxa"/>
            <w:left w:w="0" w:type="dxa"/>
            <w:bottom w:w="0" w:type="dxa"/>
            <w:right w:w="0" w:type="dxa"/>
          </w:tblCellMar>
        </w:tblPrEx>
        <w:trPr>
          <w:trHeight w:val="740" w:hRule="atLeast"/>
        </w:trPr>
        <w:tc>
          <w:tcPr>
            <w:tcW w:w="510" w:type="dxa"/>
            <w:tcBorders>
              <w:top w:val="nil"/>
              <w:left w:val="nil"/>
              <w:bottom w:val="nil"/>
              <w:right w:val="nil"/>
            </w:tcBorders>
            <w:shd w:val="clear" w:color="auto" w:fill="auto"/>
            <w:noWrap/>
            <w:tcMar>
              <w:top w:w="15" w:type="dxa"/>
              <w:left w:w="15" w:type="dxa"/>
              <w:right w:w="15" w:type="dxa"/>
            </w:tcMar>
            <w:vAlign w:val="top"/>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促进经济数字化、网络化、智能化支撑江西高质量跨越式发展的思路和重点举措研究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中央脱贫攻坚专项巡视“回头看”和成效考核反馈问题总结研究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聚焦我省“两不愁三保障”突出问题精准施策补齐短板研究</w:t>
            </w:r>
          </w:p>
        </w:tc>
      </w:tr>
      <w:tr>
        <w:tblPrEx>
          <w:tblCellMar>
            <w:top w:w="0" w:type="dxa"/>
            <w:left w:w="0" w:type="dxa"/>
            <w:bottom w:w="0" w:type="dxa"/>
            <w:right w:w="0" w:type="dxa"/>
          </w:tblCellMar>
        </w:tblPrEx>
        <w:trPr>
          <w:trHeight w:val="56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江西经济数字化转型面临的主要瓶颈及对策研究</w:t>
            </w:r>
          </w:p>
        </w:tc>
      </w:tr>
      <w:tr>
        <w:tblPrEx>
          <w:tblCellMar>
            <w:top w:w="0" w:type="dxa"/>
            <w:left w:w="0" w:type="dxa"/>
            <w:bottom w:w="0" w:type="dxa"/>
            <w:right w:w="0" w:type="dxa"/>
          </w:tblCellMar>
        </w:tblPrEx>
        <w:trPr>
          <w:trHeight w:val="56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大南昌打造智慧都市圈的发展策略研究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江西加快融入粤港澳大湾区建设发展路径与举措研究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赣东北地区全面对接融入长三角一体化和海西区路径与举措研究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江西融入新一轮技术革命推动制造业高质量发展产业政策研究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加快赣江新区现代化产业体系建设研究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加快建设鄱阳湖国家自主创新示范区的战略思考与对策建议</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优化营商环境视域下创新驱动航空产业军民深度融合发展研究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江西全面建成小康社会进程中的差距、难点及追赶战略研究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新冠肺炎疫情后决战决胜我省脱贫攻坚的政策建议研究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top"/>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napToGrid w:val="0"/>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新冠肺炎疫情对我省金融、房地产等重点经济领域的影响分析与对策建议研究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江西打造“四最”营商环境的思路和重点举措研究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加快推动我省区块链和实体经济深度融合研究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 xml:space="preserve">加快推动我省优势传统产业数字化转型发展对策研究 </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加快“物联江西”向“智联江西”转变的高质量发展路径研究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新阶段推进我省内陆双向高水平开放研究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加快推进我省市域社会治理现代化研究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江西打造世界级“VR中心”战略研究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江西加快打造“VR+旅游”(“VR+教育”)融合创新应用高地研究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基于VR平台的海昏侯墓葬结构工程展示研究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健康江西背景下我省中医药产业高质量发展路径研究</w:t>
            </w:r>
          </w:p>
        </w:tc>
      </w:tr>
      <w:tr>
        <w:tblPrEx>
          <w:tblCellMar>
            <w:top w:w="0" w:type="dxa"/>
            <w:left w:w="0" w:type="dxa"/>
            <w:bottom w:w="0" w:type="dxa"/>
            <w:right w:w="0" w:type="dxa"/>
          </w:tblCellMar>
        </w:tblPrEx>
        <w:trPr>
          <w:trHeight w:val="800" w:hRule="atLeast"/>
        </w:trPr>
        <w:tc>
          <w:tcPr>
            <w:tcW w:w="510" w:type="dxa"/>
            <w:tcBorders>
              <w:top w:val="nil"/>
              <w:left w:val="nil"/>
              <w:bottom w:val="nil"/>
              <w:right w:val="nil"/>
            </w:tcBorders>
            <w:shd w:val="clear" w:color="auto" w:fill="auto"/>
            <w:noWrap/>
            <w:tcMar>
              <w:top w:w="15" w:type="dxa"/>
              <w:left w:w="15" w:type="dxa"/>
              <w:right w:w="15" w:type="dxa"/>
            </w:tcMar>
            <w:vAlign w:val="top"/>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napToGrid w:val="0"/>
              <w:jc w:val="left"/>
              <w:textAlignment w:val="center"/>
              <w:rPr>
                <w:rFonts w:ascii="仿宋_GB2312" w:hAnsi="宋体" w:eastAsia="仿宋_GB2312" w:cs="仿宋_GB2312"/>
                <w:color w:val="000000" w:themeColor="text1"/>
                <w:kern w:val="0"/>
                <w:sz w:val="32"/>
                <w:szCs w:val="32"/>
              </w:rPr>
            </w:pPr>
            <w:r>
              <w:rPr>
                <w:rFonts w:hint="eastAsia" w:ascii="仿宋_GB2312" w:hAnsi="宋体" w:eastAsia="仿宋_GB2312" w:cs="仿宋_GB2312"/>
                <w:color w:val="000000" w:themeColor="text1"/>
                <w:kern w:val="0"/>
                <w:sz w:val="32"/>
                <w:szCs w:val="32"/>
              </w:rPr>
              <w:t>加快建设“国内领先、世界知名”中医药强省的重点突破领域与推进路径研究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全国“四大药都”比较与我省中医药产业发展研究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创新推进我省健康与养老产业深度融合研究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大数据背景下江西省传统工业转型发展对策研究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top"/>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napToGrid w:val="0"/>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低碳经济背景下江西新能源产业发展的路径选择与政策支持体系研究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长江经济带污染密集型企业生态效率测度及提升机制研究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我省城镇化与乡村振兴融合发展战略研究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教育精准扶贫与乡村人才振兴的政策衔接研究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江西省减税降费政策效果评估研究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我省国企改革、治理效率与绩效研究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推进江西农业农村现代化的路径选择与制度创新研究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江西省绿色农业生产存在的问题与对策研究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江西省数字农业发展的差距及对策研究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江西农村集体产权制度改革难点问题研究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江西粮食生产扬优成势巩固主产区地位战略研究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绿色兴农与品牌强农的江西农业高质量发展研究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利用稀土废弃矿治理工程大力发展高效设施农业研究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加快推进景德镇国家陶瓷文化传承创新试验区发展路径与政策扶持研究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加快推进长征国家文化公园江西段建设的思路和重点举措研究</w:t>
            </w:r>
          </w:p>
        </w:tc>
      </w:tr>
      <w:tr>
        <w:tblPrEx>
          <w:tblCellMar>
            <w:top w:w="0" w:type="dxa"/>
            <w:left w:w="0" w:type="dxa"/>
            <w:bottom w:w="0" w:type="dxa"/>
            <w:right w:w="0" w:type="dxa"/>
          </w:tblCellMar>
        </w:tblPrEx>
        <w:trPr>
          <w:trHeight w:val="85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七、法学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新时代党和国家治理现代化和法治化问题研究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新时代国家制度和法律制度创新发展的重大理论与实践问题研究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我省“十四五”规划设计中的重大法治问题研究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强化知识产权保护制度研究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以国家立法明确党的领导地位研究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依法治国和依规治党有机统一研究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健全保障宪法全面实施的体制机制研究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国家治理现代化与未成年人事务治理法治保障研究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志愿服务法治问题研究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中国特色社会主义法律监督体系研究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社会治理视野下法治与德治相结合研究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网络犯罪参与问题研究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我国基本医疗卫生立法研究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法治政府建设与营商环境优化研究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江西省扫黑除恶的法治机制研究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江西省综合行政执法体制改革研究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我省稀土资源利用与行业治理法律制度研究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强化公共卫生法治保障研究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完善疫情防控相关立法，加强配套制度建设研究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重大疫情公布、公开的法治完善研究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“信用江西”建设的法治保障研究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完善野生动物保护法、生物安全法研究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江西生态司法机制优化研究</w:t>
            </w:r>
          </w:p>
        </w:tc>
      </w:tr>
      <w:tr>
        <w:tblPrEx>
          <w:tblCellMar>
            <w:top w:w="0" w:type="dxa"/>
            <w:left w:w="0" w:type="dxa"/>
            <w:bottom w:w="0" w:type="dxa"/>
            <w:right w:w="0" w:type="dxa"/>
          </w:tblCellMar>
        </w:tblPrEx>
        <w:trPr>
          <w:trHeight w:val="84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八、社会学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重大突发公共卫生事件中的公共服务体系建设研究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重大突发公共卫生事件中的民生保障与社会救助研究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江西省重大公共卫生突发疫情预警机制与应急防疫准备研究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napToGrid w:val="0"/>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江西省重大公共卫生突发疫情防控应急条件下社会治安风险防控研究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推进我省消防安全治理体系和治理能力现代化研究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加强疫情后我省就业形势研判强化就业服务研究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新冠肺炎疫情突发事件风险应对的有益经验及其启示研究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打造江西共建共治共享的社会治理格局的实现路径研究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推进我省基层直接民主的制度化与规范化研究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我省农业文化遗产保护与发展的社会学研究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新时代企业社会责任研究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新时代文明实践志愿服务工作方法研究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江西健全社区建设、社会组织和社会工作“三社联动”机制研究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“厕所革命”与社会发展研究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“垃圾分类”与社会文明研究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人民美好生活需要发展趋势研究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贫困村第一书记助力扶贫攻坚作用（经验总结）研究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全面建成小康社会进程中的反贫困研究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江西省农村空巢老年人养老服务问题研究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社会力量协同乡村振兴的路径与机制研究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“党建+”“文化+”引领我省乡村“善治”新格局研究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创新社会治理视域下社会工作参与社区共同体建设问题研究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异地扶贫搬迁农户的社会融入及社会工作服务路径研究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赣南原中央苏区社会建设实践与政策史研究</w:t>
            </w:r>
          </w:p>
        </w:tc>
      </w:tr>
      <w:tr>
        <w:tblPrEx>
          <w:tblCellMar>
            <w:top w:w="0" w:type="dxa"/>
            <w:left w:w="0" w:type="dxa"/>
            <w:bottom w:w="0" w:type="dxa"/>
            <w:right w:w="0" w:type="dxa"/>
          </w:tblCellMar>
        </w:tblPrEx>
        <w:trPr>
          <w:trHeight w:val="93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九、政治学</w:t>
            </w:r>
          </w:p>
        </w:tc>
      </w:tr>
      <w:tr>
        <w:tblPrEx>
          <w:tblCellMar>
            <w:top w:w="0" w:type="dxa"/>
            <w:left w:w="0" w:type="dxa"/>
            <w:bottom w:w="0" w:type="dxa"/>
            <w:right w:w="0" w:type="dxa"/>
          </w:tblCellMar>
        </w:tblPrEx>
        <w:trPr>
          <w:trHeight w:val="7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习近平总书记关于坚持和完善中国特色社会主义制度、推进国家治理体系和治理能力现代化的重要论述研究</w:t>
            </w:r>
          </w:p>
        </w:tc>
      </w:tr>
      <w:tr>
        <w:tblPrEx>
          <w:tblCellMar>
            <w:top w:w="0" w:type="dxa"/>
            <w:left w:w="0" w:type="dxa"/>
            <w:bottom w:w="0" w:type="dxa"/>
            <w:right w:w="0" w:type="dxa"/>
          </w:tblCellMar>
        </w:tblPrEx>
        <w:trPr>
          <w:trHeight w:val="86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十八大以来坚持和完善中国特色社会主义制度、推进国家治理体系和治理能力现代化的重大理论成果、实践成果和制度成果研究</w:t>
            </w:r>
          </w:p>
        </w:tc>
      </w:tr>
      <w:tr>
        <w:tblPrEx>
          <w:tblCellMar>
            <w:top w:w="0" w:type="dxa"/>
            <w:left w:w="0" w:type="dxa"/>
            <w:bottom w:w="0" w:type="dxa"/>
            <w:right w:w="0" w:type="dxa"/>
          </w:tblCellMar>
        </w:tblPrEx>
        <w:trPr>
          <w:trHeight w:val="74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坚持和完善中国特色社会主义制度与推进国家治理体系和治理能力现代化的相互关系研究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中国优秀传统文化中关于国家治理与制度建设的思想研究</w:t>
            </w:r>
          </w:p>
        </w:tc>
      </w:tr>
      <w:tr>
        <w:tblPrEx>
          <w:tblCellMar>
            <w:top w:w="0" w:type="dxa"/>
            <w:left w:w="0" w:type="dxa"/>
            <w:bottom w:w="0" w:type="dxa"/>
            <w:right w:w="0" w:type="dxa"/>
          </w:tblCellMar>
        </w:tblPrEx>
        <w:trPr>
          <w:trHeight w:val="74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中国特色社会主义制度和国家治理体系调动各方面积极性，集中力量办大事的显著优势的机理研究</w:t>
            </w:r>
          </w:p>
        </w:tc>
      </w:tr>
      <w:tr>
        <w:tblPrEx>
          <w:tblCellMar>
            <w:top w:w="0" w:type="dxa"/>
            <w:left w:w="0" w:type="dxa"/>
            <w:bottom w:w="0" w:type="dxa"/>
            <w:right w:w="0" w:type="dxa"/>
          </w:tblCellMar>
        </w:tblPrEx>
        <w:trPr>
          <w:trHeight w:val="76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中国特色社会主义坚持共同的理想信念、价值理念、道德观念的制度显著优势的机理研究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坚持不懈锤炼党员干部忠诚干净担当政治品格的长效机制研究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top"/>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napToGrid w:val="0"/>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把我国政治制度优势更好地转化为国家治理的政治效能的途径和机制研究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健全维护党的集中统一的组织制度研究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党内法规制度建设与国家治理现代化关系研究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完善党领导人民团体的制度研究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新时代民营企业党的建设研究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完善党领导基层群众自治组织的制度研究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top"/>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napToGrid w:val="0"/>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维护和保障人民政治权利与推进国家治理体系和治理能力现代化的关系研究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完善对于领导干部担当作为的激励机制研究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规范党内政治生活，严明政治纪律和政治规矩的制度建设研究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健全政府行政执行系统，提高政府执行力和公信力研究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推进基层政府减负提质增效的体制机制研究</w:t>
            </w:r>
          </w:p>
        </w:tc>
      </w:tr>
      <w:tr>
        <w:tblPrEx>
          <w:tblCellMar>
            <w:top w:w="0" w:type="dxa"/>
            <w:left w:w="0" w:type="dxa"/>
            <w:bottom w:w="0" w:type="dxa"/>
            <w:right w:w="0" w:type="dxa"/>
          </w:tblCellMar>
        </w:tblPrEx>
        <w:trPr>
          <w:trHeight w:val="72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坚持马克思主义在意识形态领域指导地位的根本制度，落实意识形态工作责任制研究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完善精准问责有效机制研究</w:t>
            </w:r>
          </w:p>
        </w:tc>
      </w:tr>
      <w:tr>
        <w:tblPrEx>
          <w:tblCellMar>
            <w:top w:w="0" w:type="dxa"/>
            <w:left w:w="0" w:type="dxa"/>
            <w:bottom w:w="0" w:type="dxa"/>
            <w:right w:w="0" w:type="dxa"/>
          </w:tblCellMar>
        </w:tblPrEx>
        <w:trPr>
          <w:trHeight w:val="93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十、语言学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新时代语言文明建设研究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语言智库理论建设研究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老年语言能力及语言障碍研究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二语习得输入与产出的理论和应用研究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面向人工智能的语言脑机制研究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汉语语音史、词汇史、语法史研究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甲骨文等古文字与中华文化传承研究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中国传统语文学（文字、音韵、训诂）的继承与创新研究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中国特色外语教育教学理论研究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 xml:space="preserve">江西非遗项目中的方言词汇研究   </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江西方言文献语料研究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江西出土文字搜集、整理与研究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江西历代碑刻整理与研究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城市化进程中的语言选择与地域特色语言文化保护研究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“文化自信”背景下中医文化翻译中的传播力构建研究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江西“四色文化”与社会语言景观研究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江西地名用字研究</w:t>
            </w:r>
          </w:p>
        </w:tc>
      </w:tr>
      <w:tr>
        <w:tblPrEx>
          <w:tblCellMar>
            <w:top w:w="0" w:type="dxa"/>
            <w:left w:w="0" w:type="dxa"/>
            <w:bottom w:w="0" w:type="dxa"/>
            <w:right w:w="0" w:type="dxa"/>
          </w:tblCellMar>
        </w:tblPrEx>
        <w:trPr>
          <w:trHeight w:val="91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十一、文学</w:t>
            </w:r>
          </w:p>
        </w:tc>
      </w:tr>
      <w:tr>
        <w:tblPrEx>
          <w:tblCellMar>
            <w:top w:w="0" w:type="dxa"/>
            <w:left w:w="0" w:type="dxa"/>
            <w:bottom w:w="0" w:type="dxa"/>
            <w:right w:w="0" w:type="dxa"/>
          </w:tblCellMar>
        </w:tblPrEx>
        <w:trPr>
          <w:trHeight w:val="72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习近平总书记文艺工作系列讲话与新时代中国社会主义文艺新实践新气象新展望研究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五四文学传统的当代价值研究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当代马克思主义文艺理论研究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中国现当代文学史学的基本问题研究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新中国成立以来文学重要作家作品及文学批评研究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红色文化与经典作品研究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经典作家研究中的马克思主义立场和方法研究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文化产业视角下的江西书院文化创新发展研究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江西古代书院文化遗产抢救与保护传承体系研究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江西谱牒文化研究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浮梁茶、景德瓷、乐平戏与景德镇商业文化研究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浮梁县署及其文化特色研究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“同光体”赣派诗人研究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赣鄱文化与阳明学研究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元代江西诗人研究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文化自信与江西文脉传承发展研究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赣鄱文化与文学特色形成研究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赣西花炮民俗文化之内涵与保护传承研究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客家习俗文化探微</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赣南客家宗祠文化研究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分宜（中国夏布之乡）夏布文化的传承与发展探究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天工开物工艺文化研究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新喻清代民国匾额研究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元宵唱船民俗文化生态与传承保护研究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25.</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黎川古代文化世家研究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26.</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吴嵩梁及其作品研究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27.</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黄爵滋文存整理和研究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28.</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临川文化创新发展路径研究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29.</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上堡梯田</w:t>
            </w:r>
            <w:r>
              <w:rPr>
                <w:rFonts w:hint="eastAsia" w:ascii="仿宋_GB2312" w:hAnsi="宋体" w:eastAsia="仿宋_GB2312" w:cs="仿宋_GB2312"/>
                <w:color w:val="000000" w:themeColor="text1"/>
                <w:kern w:val="0"/>
                <w:sz w:val="32"/>
                <w:szCs w:val="32"/>
                <w:lang w:val="en-US" w:eastAsia="zh-CN"/>
              </w:rPr>
              <w:t>--</w:t>
            </w:r>
            <w:r>
              <w:rPr>
                <w:rFonts w:hint="eastAsia" w:ascii="仿宋_GB2312" w:hAnsi="宋体" w:eastAsia="仿宋_GB2312" w:cs="仿宋_GB2312"/>
                <w:color w:val="000000" w:themeColor="text1"/>
                <w:kern w:val="0"/>
                <w:sz w:val="32"/>
                <w:szCs w:val="32"/>
              </w:rPr>
              <w:t>客家稻做农耕文化遗产研究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30.</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全南瑶族文化整理与研究</w:t>
            </w:r>
          </w:p>
        </w:tc>
      </w:tr>
      <w:tr>
        <w:tblPrEx>
          <w:tblCellMar>
            <w:top w:w="0" w:type="dxa"/>
            <w:left w:w="0" w:type="dxa"/>
            <w:bottom w:w="0" w:type="dxa"/>
            <w:right w:w="0" w:type="dxa"/>
          </w:tblCellMar>
        </w:tblPrEx>
        <w:trPr>
          <w:trHeight w:val="79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十二、艺术学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习近平新时代中国特色社会主义文化艺术重要论述研究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新媒介与文艺创作及批评研究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影视如何讲好江西故事研究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电影、广播电视及新媒体艺术的跨学科研究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网络电影、网络剧与网络综艺现状及发展研究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移动短视频现状与发展研究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VR、AR、MR对影视创作及产业的影响研究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乡村振兴战略视域下江西戏曲非遗传承研究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江西红色音乐文化研究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江西傩舞创作艺术研究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中国当代陶瓷艺术文献整理与研究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景德镇陶瓷艺术研究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汪大沧对景德镇陶瓷美术的影响研究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婺源传统木雕艺术研究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江西航空文化创意产业的历史溯源与创新研究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流行音乐与传播社会主义核心价值观研究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江西电影史料整理研究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“四色”文化背景下的江西旅游商品设计与地域文化特性研究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翻译叙事视角下汤显祖戏曲海外传播研究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江西传统艺术创造性转化与创新性发展研究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明清以来江西道教与戏曲音乐研究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赣南采茶戏的传承与保护研究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赣南客家围屋建筑艺术与保护利用研究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“非遗”铜鼓客家山歌在高校的传承发展研究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非遗文化视角下的江西地方戏曲脸谱抢救发掘与活化应用研究</w:t>
            </w:r>
          </w:p>
        </w:tc>
      </w:tr>
      <w:tr>
        <w:tblPrEx>
          <w:tblCellMar>
            <w:top w:w="0" w:type="dxa"/>
            <w:left w:w="0" w:type="dxa"/>
            <w:bottom w:w="0" w:type="dxa"/>
            <w:right w:w="0" w:type="dxa"/>
          </w:tblCellMar>
        </w:tblPrEx>
        <w:trPr>
          <w:trHeight w:val="82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十三、教育学</w:t>
            </w:r>
            <w:r>
              <w:rPr>
                <w:rStyle w:val="13"/>
                <w:rFonts w:eastAsia="黑体"/>
                <w:color w:val="000000" w:themeColor="text1"/>
              </w:rPr>
              <w:t>•</w:t>
            </w:r>
            <w:r>
              <w:rPr>
                <w:rFonts w:hint="eastAsia" w:ascii="黑体" w:hAnsi="宋体" w:eastAsia="黑体" w:cs="黑体"/>
                <w:b/>
                <w:color w:val="000000" w:themeColor="text1"/>
                <w:kern w:val="0"/>
                <w:sz w:val="32"/>
                <w:szCs w:val="32"/>
              </w:rPr>
              <w:t>心理学</w:t>
            </w:r>
          </w:p>
        </w:tc>
      </w:tr>
      <w:tr>
        <w:tblPrEx>
          <w:tblCellMar>
            <w:top w:w="0" w:type="dxa"/>
            <w:left w:w="0" w:type="dxa"/>
            <w:bottom w:w="0" w:type="dxa"/>
            <w:right w:w="0" w:type="dxa"/>
          </w:tblCellMar>
        </w:tblPrEx>
        <w:trPr>
          <w:trHeight w:val="7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习近平新时代中国特色社会主义思想“三进”（进教材、进课堂、进头脑）工作实践研究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新时代爱国主义教育长效机制研究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增强中国话语权视域下高校外语课程思政建设研究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“课程思政”融入人才培养的路径研究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把制度自信教育融入国民教育全过程的实践路径研究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建全完善高校科研诚信保障机制研究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重大突发公共卫生事件下公众风险感知、行为规律与健康心理引导研究</w:t>
            </w:r>
          </w:p>
        </w:tc>
      </w:tr>
      <w:tr>
        <w:tblPrEx>
          <w:tblCellMar>
            <w:top w:w="0" w:type="dxa"/>
            <w:left w:w="0" w:type="dxa"/>
            <w:bottom w:w="0" w:type="dxa"/>
            <w:right w:w="0" w:type="dxa"/>
          </w:tblCellMar>
        </w:tblPrEx>
        <w:trPr>
          <w:trHeight w:val="7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大数据、人工智能、5G、AR/VR、区块链等新技术助力教育结构变革、教学模式和学习模式变革</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线上教学模式的效果及社会认同研究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促进教育治理能力提升的教育评价制度改革研究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新时代民办教育发展战略和治理创新研究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“十四五”期间我省高等教育发展目标与推进策略研究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我省义务教育资源优质均衡发展研究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提高农村教育质量与乡村发展振兴战略研究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核心素养引领下中小学生实践能力与创新能力培养的行动研究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江西高校毕业留赣就业意愿调查研究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“双一流”背景下区域学科均衡发展战略研究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平安中国视角下的社会礼让行为研究</w:t>
            </w:r>
          </w:p>
        </w:tc>
      </w:tr>
      <w:tr>
        <w:tblPrEx>
          <w:tblCellMar>
            <w:top w:w="0" w:type="dxa"/>
            <w:left w:w="0" w:type="dxa"/>
            <w:bottom w:w="0" w:type="dxa"/>
            <w:right w:w="0" w:type="dxa"/>
          </w:tblCellMar>
        </w:tblPrEx>
        <w:trPr>
          <w:trHeight w:val="76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高等教育大众化背景下的大学生群体研究（大学生思想品德与价值观、大学生学业、行为、大学生心理健康与就业指导等）</w:t>
            </w:r>
          </w:p>
        </w:tc>
      </w:tr>
      <w:tr>
        <w:tblPrEx>
          <w:tblCellMar>
            <w:top w:w="0" w:type="dxa"/>
            <w:left w:w="0" w:type="dxa"/>
            <w:bottom w:w="0" w:type="dxa"/>
            <w:right w:w="0" w:type="dxa"/>
          </w:tblCellMar>
        </w:tblPrEx>
        <w:trPr>
          <w:trHeight w:val="840"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十四、体育学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习近平新时代中国特色社会主义思想与体育强国建设研究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新时代国家体育治理体系和治理能力现代化研究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新时代中华体育精神创新与发展研究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新时代我国青少年体育价值观研究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新中国体育发展的历程、成就与经验研究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中华优秀体育传统文化的核心价值及其传承研究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中国特色的体育科研成果评价体系研究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妇女、儿童体育健康促进研究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智慧社区健身与健康融合理论与实践研究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“乡村振兴战略”与乡村体育发展研究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体育公共事件的危机管理研究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智能化时代体育消费转型研究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“十四五”时期江西省全民健身发展策略研究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我省学校教育制度与学校体育改革研究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江西足球特色学校管理与评价研究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江西省竞技体育人才教体融合培养模式研究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江西省红色文化与体育强国建设的融合与发展研究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健康中国战略下基层体育协会服务社会能力提升研究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新时代江西省城乡公共体育服务一体化发展机制研究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供给侧改革背景下江西省“旅游+体育”产业模式创新研究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基于非物质文化遗产保护的傩舞体育文化传承研究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文化自信语境下南昌国际马拉松品牌塑造与路径选择研究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江西省城市社区老年人体育服务体系构建的调查研究</w:t>
            </w:r>
          </w:p>
        </w:tc>
      </w:tr>
      <w:tr>
        <w:tblPrEx>
          <w:tblCellMar>
            <w:top w:w="0" w:type="dxa"/>
            <w:left w:w="0" w:type="dxa"/>
            <w:bottom w:w="0" w:type="dxa"/>
            <w:right w:w="0" w:type="dxa"/>
          </w:tblCellMar>
        </w:tblPrEx>
        <w:trPr>
          <w:trHeight w:val="915" w:hRule="atLeast"/>
        </w:trPr>
        <w:tc>
          <w:tcPr>
            <w:tcW w:w="979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十五、新闻传播学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习近平新时代中国特色社会主义思想的对外传播研究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国家治理能力建设与新闻舆论工作关系研究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网络文化的传播机制与舆情治理研究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微短视频与核心价值观传播研究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新时代新闻舆论监督的价值、内涵及路径研究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“颜色革命”背景下的意识形态安全建构研究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中国共产党建党100年党报党刊话语研究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新中国成立70年来媒体形象建构研究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5G+人工智能驱动媒体深度融合发展研究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5G技术普及在出版工作中的应用与前景研究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提高新闻舆论传播力引导力影响力公信力研究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中央苏区报刊的健康传播社会史研究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井冈山红色文化叙事传播研究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赣南苏区红色文化的微视频表达与传播研究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“一带一路”背景下的中医药文化国际传播途径研究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江西非物质文化遗产在“一带一路”沿线国家传播研究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非物质文化遗产赣南客家灯彩舞蹈的传播途径研究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南丰傩文化数据库的构建与传播</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中国陶瓷故事域外传播研究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社会化媒体视角下的江西城市形象传播研究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重大突发公共卫生事件中的舆情应对与治理研究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重大疫情中谣言传播与信息治理研究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讲好江西抗疫故事研究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“十四五”时期健全我省重大舆情和突发事件舆论引导机制研究</w:t>
            </w:r>
          </w:p>
        </w:tc>
      </w:tr>
      <w:tr>
        <w:tblPrEx>
          <w:tblCellMar>
            <w:top w:w="0" w:type="dxa"/>
            <w:left w:w="0" w:type="dxa"/>
            <w:bottom w:w="0" w:type="dxa"/>
            <w:right w:w="0" w:type="dxa"/>
          </w:tblCellMar>
        </w:tblPrEx>
        <w:trPr>
          <w:trHeight w:val="800" w:hRule="atLeast"/>
        </w:trPr>
        <w:tc>
          <w:tcPr>
            <w:tcW w:w="9796"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黑体" w:hAnsi="宋体" w:eastAsia="黑体" w:cs="黑体"/>
                <w:b/>
                <w:color w:val="000000" w:themeColor="text1"/>
                <w:kern w:val="0"/>
                <w:sz w:val="32"/>
                <w:szCs w:val="32"/>
              </w:rPr>
            </w:pPr>
          </w:p>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十六、图书情报学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5G时代的原生数字资源开发与利用研究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基层图书馆为返乡农民工服务的问题与对策研究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大数据背景下的应急管理多元主体信息协同研究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区块链技术在图书情报领域的理论与实践研究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人文社会科学领域学术诚信状况的实证分析</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“双一流”建设背景下我省高校图书馆智库型学科服务研究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新一代智慧图书馆的功能与业务体系建设研究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网络空间命运共同体战略下信息资源管理理论研究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社会诚信建设背景下文件档案管理和服务创新研究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“双一流”建设背景下高校图书馆学科服务创新机制研究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江西省高校图书馆社会化服务研究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大数据环境下公共图书馆智慧化创新服务模式研究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乡村振兴战略下农民电子商务的信息行为研究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江西省非遗数字档案资源的建设与开发研究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“十四五”时期建立健全我省网络综合治理体系研究</w:t>
            </w:r>
          </w:p>
        </w:tc>
      </w:tr>
      <w:tr>
        <w:tblPrEx>
          <w:tblCellMar>
            <w:top w:w="0" w:type="dxa"/>
            <w:left w:w="0" w:type="dxa"/>
            <w:bottom w:w="0" w:type="dxa"/>
            <w:right w:w="0" w:type="dxa"/>
          </w:tblCellMar>
        </w:tblPrEx>
        <w:trPr>
          <w:trHeight w:val="780" w:hRule="atLeast"/>
        </w:trPr>
        <w:tc>
          <w:tcPr>
            <w:tcW w:w="9796"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十七、历史学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中国近现代史基本问题研究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中国古代国家治理体系及治理经验研究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近代中国制度体系的由来与变迁研究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抗战时期中共统一战线政策研究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当代农村基层社会史资料的收集、整理与研究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中国人民抗日战争及世界反法西斯战争史研究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抗美援朝史研究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中国古代疫情防控治理史研究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中央苏区史专题研究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历史地理学视域下中央苏区反“围剿”战争研究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江西古村落历史文化挖掘与提炼研究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江西千年古县地名文化遗产研究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江西中医药事业的发展史研究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宋代江西士人文献收集整理研究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历史时期鄱阳湖流域水患治理与水环境保护研究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近代江西商人资料整理与研究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新干大洋洲青铜器的整理与研究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东晋南朝江州政治地理研究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江西汉代文化遗址遗存田野调查研究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景德镇明清御窑厂遗产资源整理、保护研究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鹰潭龙虎山大上清宫遗址发掘资料的整理与研究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状元谢一夔家世考略</w:t>
            </w:r>
          </w:p>
        </w:tc>
      </w:tr>
      <w:tr>
        <w:tblPrEx>
          <w:tblCellMar>
            <w:top w:w="0" w:type="dxa"/>
            <w:left w:w="0" w:type="dxa"/>
            <w:bottom w:w="0" w:type="dxa"/>
            <w:right w:w="0" w:type="dxa"/>
          </w:tblCellMar>
        </w:tblPrEx>
        <w:trPr>
          <w:trHeight w:val="870" w:hRule="atLeast"/>
        </w:trPr>
        <w:tc>
          <w:tcPr>
            <w:tcW w:w="9796"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themeColor="text1"/>
                <w:sz w:val="32"/>
                <w:szCs w:val="32"/>
              </w:rPr>
            </w:pPr>
            <w:r>
              <w:rPr>
                <w:rFonts w:hint="eastAsia" w:ascii="黑体" w:hAnsi="宋体" w:eastAsia="黑体" w:cs="黑体"/>
                <w:b/>
                <w:color w:val="000000" w:themeColor="text1"/>
                <w:kern w:val="0"/>
                <w:sz w:val="32"/>
                <w:szCs w:val="32"/>
              </w:rPr>
              <w:t>十八、管理学</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努力推进革命老区在治理体系和治理能力现代化上走前列研究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江西构建生态治理体系和生态治理能力现代化的路径研究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江西跨行政区域设立环境资源审判机构研究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江西省资源节约集约循环利用政策体系研究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江西省新型城镇化与生态环境耦合协调发展研究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提升我省重大突发事件综合应急管理能力研究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以大数据和智能决策驱动我省公共卫生重大风险防控治理体系现代化研究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推进我省基层治理能力现代化与防灾（疫）动员体系研究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 xml:space="preserve"> 推动公共卫生服务与医疗服务高效协同研究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打造我省高层次医疗队伍研究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加强疫情后我省消费潜力释放及新消费模式培育研究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基层直接民主制度化、规范化、程序化的研究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新时代党政干部容错纠错机制及其实施效果研究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中部六省承接新兴产业布局和转移的对比研究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城乡基层社会治理共同体建设研究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社区服务供给的多边平台模式与治理机制研究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我省基本公共服务重心下沉到基层的路径研究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完善我省文化和旅游融合发展体制机制研究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19.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VR体验在江西红色革命文化中的应用研究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乡村振兴战略视域下的赣南客家古村落市场化保护模式研究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江西书院文化旅游价值及深度开发研究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江西红色旅游资源保护与利用的协调机制研究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国家试验区视域下陶瓷文化产业结构布局研究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江西培育中医药全产业链集群研究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江西省中医药文化旅游产业发展模式及策略研究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加快发展中医药产业，促进健康江西建设的政策研究</w:t>
            </w:r>
          </w:p>
        </w:tc>
      </w:tr>
      <w:tr>
        <w:tblPrEx>
          <w:tblCellMar>
            <w:top w:w="0" w:type="dxa"/>
            <w:left w:w="0" w:type="dxa"/>
            <w:bottom w:w="0" w:type="dxa"/>
            <w:right w:w="0" w:type="dxa"/>
          </w:tblCellMar>
        </w:tblPrEx>
        <w:trPr>
          <w:trHeight w:val="1240" w:hRule="atLeast"/>
        </w:trPr>
        <w:tc>
          <w:tcPr>
            <w:tcW w:w="510" w:type="dxa"/>
            <w:tcBorders>
              <w:top w:val="nil"/>
              <w:left w:val="nil"/>
              <w:bottom w:val="nil"/>
              <w:right w:val="nil"/>
            </w:tcBorders>
            <w:shd w:val="clear" w:color="auto" w:fill="auto"/>
            <w:noWrap/>
            <w:tcMar>
              <w:top w:w="15" w:type="dxa"/>
              <w:left w:w="15" w:type="dxa"/>
              <w:right w:w="15" w:type="dxa"/>
            </w:tcMa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spacing w:line="500" w:lineRule="exact"/>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加快推进我省新型基础设施建设研究(5G基建、特高压、城际高铁及城际轨道交通、新能源汽车充电桩、大数据中心、人工智能、工业互联网等领域，分专题研究)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江西省区块链产业发展模式及策略研究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29.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“一带一路”背景下江西新能源汽车发展战略研究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30.</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推进乡村产业发展，巩固脱贫攻坚成果研究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31.</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我省100个贫困村产业扶贫模式研究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32.</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乡村电商服务站点的可持续经营问题研究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33.</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我省航空产业高端智库市场培育与实践探索研究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34.</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南昌航空产业集群化发展与构建“核心增长极”的模式研究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35.</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江西省优势产业的文化平台建设体系研究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36.</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江西发展文化产业服务贸易竞争力研究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37.</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加快推进以御窑厂为核心的大遗址整体保护与利用研究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38.</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“双一流”背景下应用型本科院校学科建设战略研究</w:t>
            </w:r>
          </w:p>
        </w:tc>
      </w:tr>
      <w:tr>
        <w:tblPrEx>
          <w:tblCellMar>
            <w:top w:w="0" w:type="dxa"/>
            <w:left w:w="0" w:type="dxa"/>
            <w:bottom w:w="0" w:type="dxa"/>
            <w:right w:w="0" w:type="dxa"/>
          </w:tblCellMar>
        </w:tblPrEx>
        <w:trPr>
          <w:trHeight w:val="480" w:hRule="atLeast"/>
        </w:trPr>
        <w:tc>
          <w:tcPr>
            <w:tcW w:w="51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39.</w:t>
            </w:r>
          </w:p>
        </w:tc>
        <w:tc>
          <w:tcPr>
            <w:tcW w:w="9286"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江西省物流枢纽城市跨境电商协同发展机制研究</w:t>
            </w:r>
          </w:p>
        </w:tc>
      </w:tr>
    </w:tbl>
    <w:p>
      <w:pPr>
        <w:rPr>
          <w:rFonts w:ascii="黑体" w:hAnsi="黑体" w:eastAsia="黑体" w:cs="黑体"/>
          <w:color w:val="000000" w:themeColor="text1"/>
          <w:sz w:val="32"/>
          <w:szCs w:val="32"/>
        </w:rPr>
      </w:pPr>
    </w:p>
    <w:p>
      <w:pPr>
        <w:widowControl/>
        <w:jc w:val="left"/>
        <w:rPr>
          <w:rFonts w:ascii="仿宋_GB2312" w:hAnsi="仿宋_GB2312" w:eastAsia="仿宋_GB2312" w:cs="仿宋_GB2312"/>
          <w:color w:val="000000" w:themeColor="text1"/>
          <w:sz w:val="32"/>
          <w:szCs w:val="32"/>
        </w:rPr>
      </w:pPr>
    </w:p>
    <w:p>
      <w:pPr>
        <w:rPr>
          <w:color w:val="000000" w:themeColor="text1"/>
          <w:sz w:val="32"/>
          <w:szCs w:val="32"/>
        </w:rPr>
      </w:pPr>
      <w:bookmarkStart w:id="0" w:name="_GoBack"/>
      <w:bookmarkEnd w:id="0"/>
    </w:p>
    <w:p>
      <w:pPr>
        <w:rPr>
          <w:color w:val="000000" w:themeColor="text1"/>
          <w:sz w:val="32"/>
          <w:szCs w:val="32"/>
        </w:rPr>
      </w:pPr>
    </w:p>
    <w:p>
      <w:pPr>
        <w:rPr>
          <w:color w:val="000000" w:themeColor="text1"/>
          <w:sz w:val="32"/>
          <w:szCs w:val="32"/>
        </w:rPr>
      </w:pPr>
    </w:p>
    <w:p>
      <w:pPr>
        <w:rPr>
          <w:color w:val="000000" w:themeColor="text1"/>
          <w:sz w:val="32"/>
          <w:szCs w:val="32"/>
        </w:rPr>
      </w:pPr>
    </w:p>
    <w:p>
      <w:pPr>
        <w:rPr>
          <w:color w:val="000000" w:themeColor="text1"/>
          <w:sz w:val="32"/>
          <w:szCs w:val="3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sectPr>
      <w:footerReference r:id="rId3" w:type="default"/>
      <w:footerReference r:id="rId4" w:type="even"/>
      <w:pgSz w:w="11906" w:h="16838"/>
      <w:pgMar w:top="1440"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3321"/>
      <w:docPartObj>
        <w:docPartGallery w:val="autotext"/>
      </w:docPartObj>
    </w:sdt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3317"/>
      <w:docPartObj>
        <w:docPartGallery w:val="autotext"/>
      </w:docPartObj>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DD2A93"/>
    <w:rsid w:val="00004AB7"/>
    <w:rsid w:val="00543264"/>
    <w:rsid w:val="005646FE"/>
    <w:rsid w:val="006D10EC"/>
    <w:rsid w:val="0085007A"/>
    <w:rsid w:val="0098780B"/>
    <w:rsid w:val="00995F64"/>
    <w:rsid w:val="00C40469"/>
    <w:rsid w:val="00DB2FC1"/>
    <w:rsid w:val="00E7070C"/>
    <w:rsid w:val="00FB5BDB"/>
    <w:rsid w:val="02846C43"/>
    <w:rsid w:val="02AD30A9"/>
    <w:rsid w:val="02C34895"/>
    <w:rsid w:val="03436388"/>
    <w:rsid w:val="03DE17FF"/>
    <w:rsid w:val="05EF5A3C"/>
    <w:rsid w:val="06201626"/>
    <w:rsid w:val="06C60C9D"/>
    <w:rsid w:val="08AC15C8"/>
    <w:rsid w:val="08AC1F5A"/>
    <w:rsid w:val="0AC10399"/>
    <w:rsid w:val="0BB87787"/>
    <w:rsid w:val="0CC31A58"/>
    <w:rsid w:val="0CC51675"/>
    <w:rsid w:val="0D036CA6"/>
    <w:rsid w:val="0E6A1D78"/>
    <w:rsid w:val="0F3F62CC"/>
    <w:rsid w:val="0FE912A2"/>
    <w:rsid w:val="10775ACB"/>
    <w:rsid w:val="11DB2EDF"/>
    <w:rsid w:val="12C41AEB"/>
    <w:rsid w:val="141A53F2"/>
    <w:rsid w:val="147E796F"/>
    <w:rsid w:val="15054494"/>
    <w:rsid w:val="15B03B14"/>
    <w:rsid w:val="15B9390F"/>
    <w:rsid w:val="15FE4857"/>
    <w:rsid w:val="165313E3"/>
    <w:rsid w:val="16741E3E"/>
    <w:rsid w:val="16E41554"/>
    <w:rsid w:val="17F509FE"/>
    <w:rsid w:val="183F2054"/>
    <w:rsid w:val="19B80D49"/>
    <w:rsid w:val="1A2B38FF"/>
    <w:rsid w:val="1A9C5855"/>
    <w:rsid w:val="1B395E00"/>
    <w:rsid w:val="1B447851"/>
    <w:rsid w:val="1B5F4D04"/>
    <w:rsid w:val="1C9F7FB6"/>
    <w:rsid w:val="1DE122DC"/>
    <w:rsid w:val="1ED72CAF"/>
    <w:rsid w:val="1F0178E7"/>
    <w:rsid w:val="1F9E665A"/>
    <w:rsid w:val="1FD24062"/>
    <w:rsid w:val="20A87F1E"/>
    <w:rsid w:val="219D5A80"/>
    <w:rsid w:val="22AC7007"/>
    <w:rsid w:val="22C4112B"/>
    <w:rsid w:val="236A510C"/>
    <w:rsid w:val="23DF5909"/>
    <w:rsid w:val="24AB2970"/>
    <w:rsid w:val="25EA3606"/>
    <w:rsid w:val="260D0D21"/>
    <w:rsid w:val="274916C5"/>
    <w:rsid w:val="27C951F9"/>
    <w:rsid w:val="28C01332"/>
    <w:rsid w:val="29D47BAA"/>
    <w:rsid w:val="2A08479C"/>
    <w:rsid w:val="2A31514E"/>
    <w:rsid w:val="2AD96FFC"/>
    <w:rsid w:val="2D461CE8"/>
    <w:rsid w:val="2E89784B"/>
    <w:rsid w:val="2FDC6422"/>
    <w:rsid w:val="305470DA"/>
    <w:rsid w:val="305C19C4"/>
    <w:rsid w:val="30682F41"/>
    <w:rsid w:val="31E13899"/>
    <w:rsid w:val="32282AA9"/>
    <w:rsid w:val="333A0A81"/>
    <w:rsid w:val="340170F1"/>
    <w:rsid w:val="347D5574"/>
    <w:rsid w:val="348F45D0"/>
    <w:rsid w:val="34C72517"/>
    <w:rsid w:val="369220EC"/>
    <w:rsid w:val="37DA21DB"/>
    <w:rsid w:val="385B2B5A"/>
    <w:rsid w:val="386E719A"/>
    <w:rsid w:val="388F4858"/>
    <w:rsid w:val="3F595AC2"/>
    <w:rsid w:val="3F7B44F0"/>
    <w:rsid w:val="3FD35D5C"/>
    <w:rsid w:val="406F67FA"/>
    <w:rsid w:val="41C058AC"/>
    <w:rsid w:val="42DF7C56"/>
    <w:rsid w:val="433C53C4"/>
    <w:rsid w:val="43B32923"/>
    <w:rsid w:val="43C442AD"/>
    <w:rsid w:val="43CB1B64"/>
    <w:rsid w:val="440329A7"/>
    <w:rsid w:val="44832E67"/>
    <w:rsid w:val="44B578C7"/>
    <w:rsid w:val="45496B08"/>
    <w:rsid w:val="45B07E44"/>
    <w:rsid w:val="462C0133"/>
    <w:rsid w:val="4634756E"/>
    <w:rsid w:val="47002BB4"/>
    <w:rsid w:val="4A221366"/>
    <w:rsid w:val="4BB265C9"/>
    <w:rsid w:val="4BF37618"/>
    <w:rsid w:val="4C5D160E"/>
    <w:rsid w:val="4CAA50DF"/>
    <w:rsid w:val="4CF502A5"/>
    <w:rsid w:val="4D1E75CD"/>
    <w:rsid w:val="4D941422"/>
    <w:rsid w:val="4F8021C7"/>
    <w:rsid w:val="515F6B1C"/>
    <w:rsid w:val="51D85DA2"/>
    <w:rsid w:val="51E671DC"/>
    <w:rsid w:val="521344EC"/>
    <w:rsid w:val="52233DC3"/>
    <w:rsid w:val="523A79F9"/>
    <w:rsid w:val="53732982"/>
    <w:rsid w:val="53A528E9"/>
    <w:rsid w:val="53F94592"/>
    <w:rsid w:val="55E70E00"/>
    <w:rsid w:val="56893411"/>
    <w:rsid w:val="569D4469"/>
    <w:rsid w:val="56DD1CF3"/>
    <w:rsid w:val="56F41A5D"/>
    <w:rsid w:val="56FB45A6"/>
    <w:rsid w:val="57405B16"/>
    <w:rsid w:val="58117894"/>
    <w:rsid w:val="584531EC"/>
    <w:rsid w:val="5A26346C"/>
    <w:rsid w:val="5AA80783"/>
    <w:rsid w:val="5B1C6282"/>
    <w:rsid w:val="5B355F68"/>
    <w:rsid w:val="5BAE76C5"/>
    <w:rsid w:val="5BFA17CE"/>
    <w:rsid w:val="5D5C50B7"/>
    <w:rsid w:val="5D66792F"/>
    <w:rsid w:val="5D9326AA"/>
    <w:rsid w:val="5DC01161"/>
    <w:rsid w:val="5DCC1168"/>
    <w:rsid w:val="5DD5196F"/>
    <w:rsid w:val="5E73335E"/>
    <w:rsid w:val="5F6F053B"/>
    <w:rsid w:val="60101693"/>
    <w:rsid w:val="610274AB"/>
    <w:rsid w:val="615911BD"/>
    <w:rsid w:val="64D83CBE"/>
    <w:rsid w:val="669D3472"/>
    <w:rsid w:val="66F34604"/>
    <w:rsid w:val="67755986"/>
    <w:rsid w:val="67DD2A93"/>
    <w:rsid w:val="67E31AB9"/>
    <w:rsid w:val="681D2359"/>
    <w:rsid w:val="69685A7F"/>
    <w:rsid w:val="69BB611C"/>
    <w:rsid w:val="6A6E0F27"/>
    <w:rsid w:val="6B6157D4"/>
    <w:rsid w:val="6C905366"/>
    <w:rsid w:val="6E066622"/>
    <w:rsid w:val="6E366262"/>
    <w:rsid w:val="6E60773A"/>
    <w:rsid w:val="6E9711D2"/>
    <w:rsid w:val="706C3F6F"/>
    <w:rsid w:val="70E866EF"/>
    <w:rsid w:val="7151146B"/>
    <w:rsid w:val="71B13AE5"/>
    <w:rsid w:val="721627C8"/>
    <w:rsid w:val="7221718B"/>
    <w:rsid w:val="723D701F"/>
    <w:rsid w:val="735411AD"/>
    <w:rsid w:val="73D83B42"/>
    <w:rsid w:val="754F1F5E"/>
    <w:rsid w:val="75BD27D2"/>
    <w:rsid w:val="76177389"/>
    <w:rsid w:val="78F13FEA"/>
    <w:rsid w:val="79796296"/>
    <w:rsid w:val="7994189D"/>
    <w:rsid w:val="7C03027E"/>
    <w:rsid w:val="7DD04095"/>
    <w:rsid w:val="7ED6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0000FF"/>
      <w:u w:val="single"/>
    </w:rPr>
  </w:style>
  <w:style w:type="paragraph" w:customStyle="1" w:styleId="12">
    <w:name w:val="TOC 标题1"/>
    <w:basedOn w:val="2"/>
    <w:next w:val="1"/>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13">
    <w:name w:val="font71"/>
    <w:basedOn w:val="10"/>
    <w:qFormat/>
    <w:uiPriority w:val="0"/>
    <w:rPr>
      <w:rFonts w:hint="default" w:ascii="Times New Roman" w:hAnsi="Times New Roman" w:cs="Times New Roman"/>
      <w:b/>
      <w:color w:val="000000"/>
      <w:sz w:val="32"/>
      <w:szCs w:val="32"/>
      <w:u w:val="none"/>
    </w:rPr>
  </w:style>
  <w:style w:type="character" w:customStyle="1" w:styleId="14">
    <w:name w:val="font01"/>
    <w:basedOn w:val="10"/>
    <w:qFormat/>
    <w:uiPriority w:val="0"/>
    <w:rPr>
      <w:rFonts w:hint="eastAsia" w:ascii="黑体" w:hAnsi="宋体" w:eastAsia="黑体" w:cs="黑体"/>
      <w:b/>
      <w:color w:val="000000"/>
      <w:sz w:val="32"/>
      <w:szCs w:val="32"/>
      <w:u w:val="none"/>
    </w:rPr>
  </w:style>
  <w:style w:type="character" w:customStyle="1" w:styleId="15">
    <w:name w:val="页脚 Char"/>
    <w:basedOn w:val="10"/>
    <w:link w:val="4"/>
    <w:qFormat/>
    <w:uiPriority w:val="99"/>
    <w:rPr>
      <w:rFonts w:eastAsia="宋体"/>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2302</Words>
  <Characters>13123</Characters>
  <Lines>109</Lines>
  <Paragraphs>30</Paragraphs>
  <TotalTime>2</TotalTime>
  <ScaleCrop>false</ScaleCrop>
  <LinksUpToDate>false</LinksUpToDate>
  <CharactersWithSpaces>15395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2017-09-30T06:57:00Z</dcterms:created>
  <dc:creator>hp</dc:creator>
  <cp:lastModifiedBy>悠悠我欣</cp:lastModifiedBy>
  <cp:lastPrinted>2020-03-31T03:22:00Z</cp:lastPrinted>
  <dcterms:modified xsi:type="dcterms:W3CDTF">2020-03-31T09:00:43Z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